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A9" w:rsidRDefault="007B1DA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DA9" w:rsidRPr="006C655D" w:rsidRDefault="007B1DA9" w:rsidP="007B1DA9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8"/>
          <w:szCs w:val="24"/>
          <w:lang w:eastAsia="cs-CZ"/>
        </w:rPr>
      </w:pPr>
      <w:r w:rsidRPr="006C655D">
        <w:rPr>
          <w:rFonts w:ascii="Times New Roman" w:hAnsi="Times New Roman" w:cs="Times New Roman"/>
          <w:i/>
          <w:sz w:val="24"/>
        </w:rPr>
        <w:t xml:space="preserve">Příloha č. </w:t>
      </w:r>
      <w:r>
        <w:rPr>
          <w:rFonts w:ascii="Times New Roman" w:hAnsi="Times New Roman" w:cs="Times New Roman"/>
          <w:i/>
          <w:sz w:val="24"/>
        </w:rPr>
        <w:t>5</w:t>
      </w:r>
      <w:r w:rsidRPr="006C655D">
        <w:rPr>
          <w:rFonts w:ascii="Times New Roman" w:hAnsi="Times New Roman" w:cs="Times New Roman"/>
          <w:i/>
          <w:sz w:val="24"/>
        </w:rPr>
        <w:t xml:space="preserve">  – Popis předmětu plnění</w:t>
      </w:r>
    </w:p>
    <w:tbl>
      <w:tblPr>
        <w:tblpPr w:leftFromText="141" w:rightFromText="141" w:vertAnchor="text" w:horzAnchor="margin" w:tblpXSpec="right" w:tblpY="446"/>
        <w:tblW w:w="9482" w:type="dxa"/>
        <w:tblBorders>
          <w:top w:val="single" w:sz="18" w:space="0" w:color="auto"/>
          <w:bottom w:val="single" w:sz="18" w:space="0" w:color="auto"/>
        </w:tblBorders>
        <w:shd w:val="clear" w:color="auto" w:fill="595CAD"/>
        <w:tblLook w:val="04A0" w:firstRow="1" w:lastRow="0" w:firstColumn="1" w:lastColumn="0" w:noHBand="0" w:noVBand="1"/>
      </w:tblPr>
      <w:tblGrid>
        <w:gridCol w:w="9482"/>
      </w:tblGrid>
      <w:tr w:rsidR="007B1DA9" w:rsidRPr="006C655D" w:rsidTr="007B1DA9">
        <w:trPr>
          <w:trHeight w:val="348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595CAD"/>
          </w:tcPr>
          <w:p w:rsidR="007B1DA9" w:rsidRPr="006C655D" w:rsidRDefault="007B1DA9" w:rsidP="007B1DA9">
            <w:pPr>
              <w:tabs>
                <w:tab w:val="center" w:pos="4781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FFFF"/>
                <w:sz w:val="44"/>
                <w:szCs w:val="44"/>
              </w:rPr>
            </w:pPr>
            <w:r w:rsidRPr="006C655D">
              <w:rPr>
                <w:rFonts w:ascii="Times New Roman" w:eastAsia="Calibri" w:hAnsi="Times New Roman" w:cs="Times New Roman"/>
                <w:b/>
                <w:bCs/>
                <w:iCs/>
                <w:color w:val="FFFFFF"/>
                <w:sz w:val="32"/>
                <w:szCs w:val="44"/>
              </w:rPr>
              <w:t>POPIS PŘEDMĚTU PLNĚNÍ</w:t>
            </w:r>
          </w:p>
        </w:tc>
      </w:tr>
    </w:tbl>
    <w:p w:rsidR="007B1DA9" w:rsidRDefault="007B1DA9" w:rsidP="007B1D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B1DA9" w:rsidRDefault="007B1DA9" w:rsidP="007B1D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24E3F" w:rsidRDefault="004511AA" w:rsidP="007B1DA9">
      <w:pPr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Tabulky mandatorních požadavků pro přepínače a bezdrátové přístupové body:</w:t>
      </w:r>
    </w:p>
    <w:tbl>
      <w:tblPr>
        <w:tblW w:w="949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0"/>
        <w:gridCol w:w="1795"/>
        <w:gridCol w:w="2011"/>
      </w:tblGrid>
      <w:tr w:rsidR="00024E3F" w:rsidTr="007B1DA9">
        <w:trPr>
          <w:cantSplit/>
          <w:trHeight w:val="246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Bezdrátový přístupový bod typ 1a</w:t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179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20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4E3F" w:rsidRDefault="004511AA">
            <w:pPr>
              <w:spacing w:before="40" w:after="0" w:line="240" w:lineRule="auto"/>
            </w:pPr>
            <w:r>
              <w:fldChar w:fldCharType="begin">
                <w:ffData>
                  <w:name w:val="Text1 Copy 186 Copy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Uvedení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produktového čísla</w:t>
            </w:r>
          </w:p>
        </w:tc>
        <w:tc>
          <w:tcPr>
            <w:tcW w:w="201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024E3F" w:rsidRDefault="004511AA">
            <w:pPr>
              <w:spacing w:before="40" w:after="0" w:line="240" w:lineRule="auto"/>
            </w:pPr>
            <w:r>
              <w:fldChar w:fldCharType="begin">
                <w:ffData>
                  <w:name w:val="Text1 Copy 1 Copy 4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Uvedení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požadovaného odkazu</w:t>
            </w:r>
          </w:p>
        </w:tc>
        <w:tc>
          <w:tcPr>
            <w:tcW w:w="201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024E3F" w:rsidRDefault="004511AA">
            <w:pPr>
              <w:spacing w:before="40" w:after="0" w:line="240" w:lineRule="auto"/>
            </w:pPr>
            <w:r>
              <w:fldChar w:fldCharType="begin">
                <w:ffData>
                  <w:name w:val="Text1 Copy 2 Copy 4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1795" w:type="dxa"/>
            <w:tcBorders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24E3F" w:rsidRDefault="0045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2011" w:type="dxa"/>
            <w:tcBorders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</w:t>
            </w:r>
          </w:p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_Copy_1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ANO/NE</w:t>
            </w:r>
          </w:p>
        </w:tc>
      </w:tr>
      <w:tr w:rsidR="00024E3F">
        <w:trPr>
          <w:cantSplit/>
          <w:trHeight w:val="300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cs-CZ"/>
              </w:rPr>
              <w:t>Základní vlastnosti:</w:t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Access Point určený pro instalaci na strop</w:t>
            </w:r>
            <w:r>
              <w:rPr>
                <w:rFonts w:ascii="Times New Roman" w:hAnsi="Times New Roman" w:cstheme="minorHAnsi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podhled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Typ antén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Integrované pro všechna pásma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>Tři rádia pracující v režimu</w:t>
            </w: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 xml:space="preserve"> 2.4 </w:t>
            </w: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val="en-US" w:eastAsia="zh-CN"/>
              </w:rPr>
              <w:t>+</w:t>
            </w: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 xml:space="preserve"> 5 + 6 GHz pro standardní prostředí nebo dvě rádia v režimu 5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>Ghz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 xml:space="preserve"> + 2.4 GHz pro specifická nasazení, možnost statické i dynamické volby režimu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Samostatné rádio pro monitorování 2.4, 5 a 6 GHz RF spektra – detailní spektrální analýza s hardwarovou podporou, detekce útoků na bezdrátovou sít, detekce zdroje rušivého signálu, lokalizace klientů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standardů 802.11a/b/g/n/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minimálně 2x2 pro 2.4, 5 a 6 GHz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MIMO, MU-MIMO, UL/DL OFDMA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, TWT, BSS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Coloring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, MLO, 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  <w:lang w:val="en-IN"/>
              </w:rPr>
              <w:t xml:space="preserve">Preamble puncturing, 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4096 QAM a až 320 MHz kanál pro 802.11be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Minimální počet inzerovaných SSID (BSSID) per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radio</w:t>
            </w:r>
            <w:proofErr w:type="spellEnd"/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mechanismu pro optimalizaci fáze vysílaného bezdrátového signálu směrem k 802.11 n/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klientům (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Tx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Forming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mechanismu pro přepojení klientů z 2.4GHz do 5GHz pásma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mech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anismu pro přepojení klientů z 2.4GHz a 5GHz do 6GHz pásma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Access Pointy </w:t>
            </w:r>
            <w:proofErr w:type="gramStart"/>
            <w:r>
              <w:rPr>
                <w:rFonts w:ascii="Times New Roman" w:hAnsi="Times New Roman" w:cstheme="minorHAnsi"/>
                <w:sz w:val="24"/>
                <w:szCs w:val="24"/>
              </w:rPr>
              <w:t>obsahují X.509</w:t>
            </w:r>
            <w:proofErr w:type="gram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certifikát s lokální platností pro nasazeni PKI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lastRenderedPageBreak/>
              <w:t xml:space="preserve">Podpora autentizace Access Pointu do LAN sítě pomocí 802.1x, AP obsahují 802.1x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supplikant</w:t>
            </w:r>
            <w:proofErr w:type="spellEnd"/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Podpora detekce a monitorování problémů WLAN odchytáváním provozu na AP a jeho zasíláním do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Ethernetového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analyzátoru (např.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Wireshark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Podpora přímého přístupu na příkazovou řádku AP přes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serial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konzoli a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přes IPv4 pomocí 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Telnet a SSH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rozpoznání zdroje rušivého signálu podle signatur 2.4, 5 a 6 GHz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uzavřené konstrukce bez větracích otvorů a ventilátoru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Součástí AP je plechový úchyt pro instalaci na strop nebo stěnu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 je fyzicky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zabezpečitelné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zamknutelné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 okolním pevným částem.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Důvěryhodný HW/SW – AP používá bezpečný zavaděč OS, ověřování podpisu OS, kontrolu autentičnosti HW a mechanismy pro ochranu SW a HW proti útokům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024E3F" w:rsidRDefault="004511AA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024E3F" w:rsidRDefault="00024E3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0"/>
        <w:gridCol w:w="1795"/>
        <w:gridCol w:w="2011"/>
      </w:tblGrid>
      <w:tr w:rsidR="00024E3F" w:rsidTr="007B1DA9">
        <w:trPr>
          <w:cantSplit/>
          <w:trHeight w:val="246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Bezdrátový přístupový bod typ 1b</w:t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179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20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4E3F" w:rsidRDefault="004511AA">
            <w:pPr>
              <w:spacing w:before="40" w:after="0" w:line="240" w:lineRule="auto"/>
            </w:pPr>
            <w:r>
              <w:fldChar w:fldCharType="begin">
                <w:ffData>
                  <w:name w:val="Text1 Copy 186 Copy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Uvedení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produktového čísla</w:t>
            </w:r>
          </w:p>
        </w:tc>
        <w:tc>
          <w:tcPr>
            <w:tcW w:w="201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024E3F" w:rsidRDefault="004511AA">
            <w:pPr>
              <w:spacing w:before="40" w:after="0" w:line="240" w:lineRule="auto"/>
            </w:pPr>
            <w:r>
              <w:fldChar w:fldCharType="begin">
                <w:ffData>
                  <w:name w:val="Text1 Copy 1 Copy 4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žadovaného odkazu</w:t>
            </w:r>
          </w:p>
        </w:tc>
        <w:tc>
          <w:tcPr>
            <w:tcW w:w="201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024E3F" w:rsidRDefault="004511AA">
            <w:pPr>
              <w:spacing w:before="40" w:after="0" w:line="240" w:lineRule="auto"/>
            </w:pPr>
            <w:r>
              <w:fldChar w:fldCharType="begin">
                <w:ffData>
                  <w:name w:val="Text1 Copy 2 Copy 4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1795" w:type="dxa"/>
            <w:tcBorders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24E3F" w:rsidRDefault="0045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2011" w:type="dxa"/>
            <w:tcBorders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</w:t>
            </w:r>
          </w:p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1" w:name="_GoBack_Copy_2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ANO/NE</w:t>
            </w:r>
          </w:p>
        </w:tc>
      </w:tr>
      <w:tr w:rsidR="00024E3F">
        <w:trPr>
          <w:cantSplit/>
          <w:trHeight w:val="300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cs-CZ"/>
              </w:rPr>
              <w:t>Základní vlastnosti:</w:t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Access Point určený pro instalaci na strop</w:t>
            </w:r>
            <w:r>
              <w:rPr>
                <w:rFonts w:ascii="Times New Roman" w:hAnsi="Times New Roman" w:cstheme="minorHAnsi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podhled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Typ antén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Integrované pro všechna pásma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 xml:space="preserve">Tři rádia pracující v režimu 2.4 + 5 + 6 GHz pro standardní prostředí nebo dvě rádia v režimu 6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>Ghz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 xml:space="preserve"> + duální 5 GHz pro HD nasazení, možnost statické i dynamické volby režimu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Samostatné rádio pro monitorování 2.4, 5 a 6 GHz RF spektra – detailní spektrální analýza s hardwarovou podporou, detekce útoků na bezdrátovou sít, detekce zd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roje rušivého signálu, lokalizace klientů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standardů 802.11a/b/g/n/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minimálně 4x4 pro 2.4, 5 a 6 GHz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MIMO, MU-MIMO, UL/DL OFDMA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, TWT, BSS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Coloring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, MLO, 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  <w:lang w:val="en-IN"/>
              </w:rPr>
              <w:t xml:space="preserve">Preamble puncturing, 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4096 QAM a až 320 MHz kanál pro 802.11be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Minimální počet inzerovaných SSID (BSSID) per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radio</w:t>
            </w:r>
            <w:proofErr w:type="spellEnd"/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mechanismu pro optimalizaci fáze vysílaného bezdrátového signálu směrem k 802.11 n/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klientům (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Tx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Forming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mechanismu pro přepojení klientů z 2.4GHz do 5GHz pásma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mechanismu pro přepojení klientů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z 2.4GHz a 5GHz do 6GHz pásma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Access Pointy </w:t>
            </w:r>
            <w:proofErr w:type="gramStart"/>
            <w:r>
              <w:rPr>
                <w:rFonts w:ascii="Times New Roman" w:hAnsi="Times New Roman" w:cstheme="minorHAnsi"/>
                <w:sz w:val="24"/>
                <w:szCs w:val="24"/>
              </w:rPr>
              <w:t>obsahují X.509</w:t>
            </w:r>
            <w:proofErr w:type="gram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certifikát s lokální platností pro nasazeni PKI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autentizace Access Pointu do LAN sítě pomocí 802.1x, AP obsahují 802.1x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supplikant</w:t>
            </w:r>
            <w:proofErr w:type="spellEnd"/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Podpora detekce a monitorování problémů WLAN odchytáváním provozu na AP a jeho zasíláním do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Ethernetového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analyzátoru (např.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Wireshark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lastRenderedPageBreak/>
              <w:t xml:space="preserve">Podpora přímého přístupu na příkazovou řádku AP přes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serial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konzoli a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přes IPv4 pomocí 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Telnet a SSH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rozpoznání zdroje rušivého signálu podle signatur 2.4, 5 a 6 GHz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Access Point obsahuje rádio podporující BLE 5.3 a USB 2.0 port s podporou napájení minimálně 9W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Integrovaný přijímač GNSS/GPS s možností připojení exter</w:t>
            </w:r>
            <w:r>
              <w:rPr>
                <w:rFonts w:ascii="Times New Roman" w:hAnsi="Times New Roman"/>
                <w:sz w:val="24"/>
                <w:szCs w:val="24"/>
              </w:rPr>
              <w:t>ní antény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Access Point podporuje kontejnerové prostředí pro běh aplikací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Integrované rádio pro podporu Ultra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Band (UWB)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 100/1000/2500/5000/1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/s RJ45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rozhraní kompatibilní s 802.3bz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802.3af/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napájení AP z přepínače nebo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injectoru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Plná funkce všech rádií AP p</w:t>
            </w:r>
            <w:r>
              <w:rPr>
                <w:rFonts w:ascii="Times New Roman" w:hAnsi="Times New Roman"/>
                <w:sz w:val="24"/>
                <w:szCs w:val="24"/>
              </w:rPr>
              <w:t>ři použití 802.3bt, tj. 4x4 + 4x4 + 4x4 MIMO bez sníženého vysílacího výkonu libovolného rádia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Podpora úsporného režimu AP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 uzavřené konstrukce bez větracích otvorů a ventilátoru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Součástí AP je ple</w:t>
            </w:r>
            <w:r>
              <w:rPr>
                <w:rFonts w:ascii="Times New Roman" w:hAnsi="Times New Roman"/>
                <w:sz w:val="24"/>
                <w:szCs w:val="24"/>
              </w:rPr>
              <w:t>chový úchyt pro instalaci na strop nebo stěnu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 je fyzicky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zabezpečitelné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zamknutelné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 okolním pevným částem.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Důvěryhodný HW/SW – AP používá bezpečný zavaděč OS, ověřování podpisu OS, kontrolu autentičnosti HW a mechanismy pro ochranu SW a HW proti útokům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024E3F" w:rsidRDefault="004511AA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024E3F" w:rsidRDefault="00024E3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0"/>
        <w:gridCol w:w="1795"/>
        <w:gridCol w:w="2011"/>
      </w:tblGrid>
      <w:tr w:rsidR="00024E3F" w:rsidTr="007B1DA9">
        <w:trPr>
          <w:cantSplit/>
          <w:trHeight w:val="246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Bezdrátový přístupový bod typ 1c</w:t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179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20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4E3F" w:rsidRDefault="004511AA">
            <w:pPr>
              <w:spacing w:before="40" w:after="0" w:line="240" w:lineRule="auto"/>
            </w:pPr>
            <w:r>
              <w:fldChar w:fldCharType="begin">
                <w:ffData>
                  <w:name w:val="Text1 Copy 186 Copy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Uvedení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produktového čísla</w:t>
            </w:r>
          </w:p>
        </w:tc>
        <w:tc>
          <w:tcPr>
            <w:tcW w:w="201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024E3F" w:rsidRDefault="004511AA">
            <w:pPr>
              <w:spacing w:before="40" w:after="0" w:line="240" w:lineRule="auto"/>
            </w:pPr>
            <w:r>
              <w:fldChar w:fldCharType="begin">
                <w:ffData>
                  <w:name w:val="Text1 Copy 1 Copy 4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1795" w:type="dxa"/>
            <w:shd w:val="clear" w:color="auto" w:fill="FFFFFF"/>
            <w:vAlign w:val="center"/>
          </w:tcPr>
          <w:p w:rsidR="00024E3F" w:rsidRDefault="004511AA">
            <w:pPr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žadovaného odkazu</w:t>
            </w:r>
          </w:p>
        </w:tc>
        <w:tc>
          <w:tcPr>
            <w:tcW w:w="201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024E3F" w:rsidRDefault="004511AA">
            <w:pPr>
              <w:spacing w:before="40" w:after="0" w:line="240" w:lineRule="auto"/>
            </w:pPr>
            <w:r>
              <w:fldChar w:fldCharType="begin">
                <w:ffData>
                  <w:name w:val="Text1 Copy 2 Copy 4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  <w:trHeight w:val="259"/>
        </w:trPr>
        <w:tc>
          <w:tcPr>
            <w:tcW w:w="5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1795" w:type="dxa"/>
            <w:tcBorders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24E3F" w:rsidRDefault="0045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2011" w:type="dxa"/>
            <w:tcBorders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</w:t>
            </w:r>
          </w:p>
          <w:p w:rsidR="00024E3F" w:rsidRDefault="0045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2" w:name="_GoBack_Copy_3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ANO/NE</w:t>
            </w:r>
          </w:p>
        </w:tc>
      </w:tr>
      <w:tr w:rsidR="00024E3F">
        <w:trPr>
          <w:cantSplit/>
          <w:trHeight w:val="300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cs-CZ"/>
              </w:rPr>
              <w:t>Základní vlastnosti:</w:t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Access Point určený pro instalaci na strop</w:t>
            </w:r>
            <w:r>
              <w:rPr>
                <w:rFonts w:ascii="Times New Roman" w:hAnsi="Times New Roman" w:cstheme="minorHAnsi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podhled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Typ antén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Integrované pro všechna pásma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>Tři rádia pracující v režimu</w:t>
            </w: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 xml:space="preserve"> 2.4 </w:t>
            </w: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val="en-US" w:eastAsia="zh-CN"/>
              </w:rPr>
              <w:t>+</w:t>
            </w: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 xml:space="preserve"> 5 + 6 GHz pro standardní prostředí nebo dvě rádia v režimu 5 </w:t>
            </w:r>
            <w:proofErr w:type="spellStart"/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>Ghz</w:t>
            </w:r>
            <w:proofErr w:type="spellEnd"/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zh-CN"/>
              </w:rPr>
              <w:t xml:space="preserve"> + 2.4 GHz pro specifická nasazení, možnost statické i dynamické volby režimu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mostatné rádio pro monitorování 2.4, 5 a 6 GHz RF spektra – detailní spektrální analýza, detekce útoků na bezdrátovou sít, lokalizace klientů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Podpora 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standardů 802.11a/b/g/n/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a Wi-Fi6E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minimálně 4x4 pro 2.4, 5 a 6 GHz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MIMO, MU-MIMO, UL/DL OFDMA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, TWT, BSS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Coloring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a až 160 MHz kanál pro 802.11ax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Minimální počet inzerovaných SSID (BSSID) per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radio</w:t>
            </w:r>
            <w:proofErr w:type="spellEnd"/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mechanismu pro optimalizaci fáze vysílaného bezdrátového signálu směrem k 802.11 n/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klientům (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Tx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Beam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Forming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mechanismu pro přepojení klientů z 2.4GHz do 5GHz pásma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mechanismu pro přepojení klientů z 2.4GHz a 5GHz do 6GHz pásma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Access Pointy </w:t>
            </w:r>
            <w:proofErr w:type="gramStart"/>
            <w:r>
              <w:rPr>
                <w:rFonts w:ascii="Times New Roman" w:hAnsi="Times New Roman" w:cstheme="minorHAnsi"/>
                <w:sz w:val="24"/>
                <w:szCs w:val="24"/>
              </w:rPr>
              <w:t>obsahují X.509</w:t>
            </w:r>
            <w:proofErr w:type="gram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certifikát s lokální platností pro nasazeni PKI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autentizace Access Pointu do LAN sítě pomocí 802.1x, AP obsahují 8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02.1x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supplikant</w:t>
            </w:r>
            <w:proofErr w:type="spellEnd"/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Podpora detekce a monitorování problémů WLAN odchytáváním provozu na AP a jeho zasíláním do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Ethernetového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analyzátoru (např.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Wireshark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Podpora přímého přístupu na příkazovou řádku AP přes </w:t>
            </w:r>
            <w:proofErr w:type="spellStart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serial</w:t>
            </w:r>
            <w:proofErr w:type="spellEnd"/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 xml:space="preserve"> konzoli a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přes IPv4 pomocí </w:t>
            </w: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Telnet a SSH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Hardwarová podpora spektrální analýzy s podporou 160 MHz kanálů (detekce zdroje rušivého signálu – interference) pro 2.4, 5 a 6 GHz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HAnsi"/>
                <w:bCs/>
                <w:color w:val="000000"/>
                <w:sz w:val="24"/>
                <w:szCs w:val="24"/>
              </w:rPr>
              <w:t>Podpora rozpoznání zdroje rušivého signálu podle signatur 2.4, 5 a 6 GHz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Access Point obsahuje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podporující BLE 5.1 a USB 2.0 port s podporou napájení minimálně 4.5W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Access Point podporuje kontejnerové prostředí pro běh aplikací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Integrované senzory pro měření teploty, vlhkosti a kvality vzduchu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x 100/1000/2500/5000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/s RJ45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rozhraní kompatibilní s 802.3bz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802.3af/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napájení AP z přepínače nebo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injectoru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Plná funkce třech rádií AP i při použití 802.3at, tj. 4x4 + 4x4 + 4x4 MIMO bez sníženého vysílacího výkonu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napájení z DC zdroje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 uzavřené konstr</w:t>
            </w:r>
            <w:r>
              <w:rPr>
                <w:rFonts w:ascii="Times New Roman" w:hAnsi="Times New Roman"/>
                <w:sz w:val="24"/>
                <w:szCs w:val="24"/>
              </w:rPr>
              <w:t>ukce bez větracích otvorů a ventilátoru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Součástí AP je plechový úchyt pro instalaci na strop nebo stěnu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 je fyzicky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zabezpečitelné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zamknutelné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 okolním pevným částem.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24E3F">
        <w:trPr>
          <w:cantSplit/>
          <w:trHeight w:val="300"/>
        </w:trPr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Důvěryhodný HW/SW – AP používá bezpečný zavaděč OS, ověřování podpisu OS, kontrolu autentičnosti HW a mechanismy pro ochranu SW a HW proti útokům</w:t>
            </w:r>
          </w:p>
        </w:tc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024E3F" w:rsidRDefault="00024E3F">
      <w:pPr>
        <w:rPr>
          <w:rFonts w:ascii="Times New Roman" w:eastAsia="Calibri" w:hAnsi="Times New Roman" w:cs="Times New Roman"/>
          <w:sz w:val="24"/>
          <w:szCs w:val="24"/>
        </w:rPr>
      </w:pPr>
    </w:p>
    <w:p w:rsidR="00024E3F" w:rsidRDefault="004511AA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024E3F" w:rsidRDefault="00024E3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4613"/>
        <w:gridCol w:w="3338"/>
        <w:gridCol w:w="1624"/>
      </w:tblGrid>
      <w:tr w:rsidR="00024E3F" w:rsidTr="007B1DA9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Přepínač typ 2a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produktového čísla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požadovaného odkazu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 ANO/NE</w:t>
            </w:r>
          </w:p>
        </w:tc>
      </w:tr>
      <w:tr w:rsidR="00024E3F">
        <w:trPr>
          <w:cantSplit/>
          <w:trHeight w:val="378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Základní vlastnosti: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 přepínače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L2/L3 přepínač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Formát přepínače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Stohovatelný, 1RU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 dedikovaných stohovacích portů volitelného stohovacího modulu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zařízení 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stohu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kapacita sběrnice stohu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 rámci stohu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instalovat interní redundantní napájecí zdroj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tní ventilátory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Interní redundantní napájecí zdroj požadován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budget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W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024E3F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Datový stohovací kabel požadován 1m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portů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až 10G s 802.3at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napájením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portů 10/100/1000 Base-TX s 802.3at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napájením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2x25GE SFP28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velikost sdíleného systémového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bufferu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6MB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Velikost MAC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tabulky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IPv4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konfigurovatelných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802.3ad (Link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802.3ad přes více přepínačů ve stohu nebo více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šasis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Minimálně 8 linek jako součást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trunku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konfigurovatelných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trunků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IEEE 802.1q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počet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aktivních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802.1x – 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 Access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Konfigurovatelná kombinace pořadí postupného ověřování zařízení na portu (IEEE 802.1x, MAC adresou, Web autentizací)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Integrace IEEE 802.1x s IP telefonním prostředím (802.1x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Multi-domain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authentication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provozu 802.1x v tzv. audit módu bez omezování přístupu koncových uživatelů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VLAN Rapid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Spanning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(PVRST+) nebo ekvivalentní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802.1w - Rapid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Protokol MVRP nebo VTP pro definici a správu VLAN sítí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jumbo rámců (min. 9198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Detekce protilehlého zařízení (např. CDP nebo LLDP)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Směrování protokolů IPv4 a IPv6 v hardware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OSPFv2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OSPFv3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Flexible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segmentation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(VRF, BGP-EVPN s VXLAN)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(PIM SSM, PIM SM)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uRPF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pro IPv4 i IPv6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IGMPv2, IGMPv3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IGMP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DHCP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relay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HW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front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ACL,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Priority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Queue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Automatické nastavení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parametrů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nebo ekvivalentní)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QoS-Hierarchical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min. 2 úrovně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Protokol pro IPv4 i IPv6 (HSRP nebo VRRP)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(Telnet, SSH,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Syslog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DHCP)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Bezpečnost: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IPv6 Port ACL, VLAN 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DHCPv6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IPv6 Source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definovat povolené MAC adresy na portu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PACL, VACL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Paketové filtry (ACL) jsou stále aplikovány a filtrují i v případě, že jsou na nich prováděny změny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802.1ae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portech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ochranu proti podvržení zdrojové MAC a IP adresy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ochranu proti připojení neautorizovaného DHCP serveru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inspekci provozu protokolu ARP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Ochrana proti nahrání modifikovaného software do zařízení prostřednictvím image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 funkce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 pro bezpečné uložení hesel a šifrovacích klíčů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Podpora SUDI (IEEE 802.1ar) autentizace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Automatická aplikace specifické konfigurace pro dané zařízení po detekci jeho připojení na portu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Monitorování aplikačních toků (všech paketů)  prostřednictvím technologie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nebo ekvivalentní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Možnost definice klíčových atributů a parametrů monitorovaných toků včetně parametrů: zdrojová/cílová MAC adresa, zdrojová/cílová IP adresa, zdrojová/cílová  VLAN, TCP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TCP sekvenční čísla,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hodnota TTL, ICMP kód, IGMP type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Export monitorovaných dat ve formátu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v9 nebo IPFIX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Management: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SSHv2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 rozhraní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Vzdálená identifikace zařízení pomocí dálkově řízené LED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programovatelnost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prostřednictvím RESTCONF, NETCONF/YANG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Interpretace uživatelských skriptů a jejich aktivace asynchronní událostí v systému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Streaming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telemetrie prostřednictvím NETCONF/XML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SNMPv2/v3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přes IPv4 i IPv6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Integrovaná RFID identifikace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TACACS+ nebo RADIUS klient pro AAA (autentizace, autorizace,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NTPv3 server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024E3F" w:rsidRDefault="00024E3F"/>
    <w:tbl>
      <w:tblPr>
        <w:tblW w:w="957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4613"/>
        <w:gridCol w:w="3338"/>
        <w:gridCol w:w="1624"/>
      </w:tblGrid>
      <w:tr w:rsidR="00024E3F" w:rsidTr="007B1DA9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Přepínač typ 2b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produktového čís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la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požadovaného odkazu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 ANO/NE</w:t>
            </w:r>
          </w:p>
        </w:tc>
      </w:tr>
      <w:tr w:rsidR="00024E3F">
        <w:trPr>
          <w:cantSplit/>
          <w:trHeight w:val="378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Základní vlastnosti: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 přepínače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L2/L3 přepínač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Formát přepínače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Stohovatelný, 1RU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 dedikovaných stohovacích portů volitelného stohovacího modulu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zařízení ve stohu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Minimální kapacita sběrnice stohu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7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 rámci stohu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instalovat interní redundantní napájecí zdroj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Redundantní ventilátory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Interní redundantní napájecí zdroj požadován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budget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W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t>     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Datový stohovací kabel požadován 1m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portů 10/100/1000 Base-TX s 802.3at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napájením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4x10GE SFP+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velikost sdíleného systémového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bufferu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6MB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5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Velikost MAC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tabulky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6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IPv4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7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konfigurovatelných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9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802.3ad (Link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0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802.3ad přes více přepínačů ve stohu nebo více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šasis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Minimálně 8 linek jako součást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trunku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2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konfigurovatelných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trunků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3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802.1q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4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počet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aktivních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5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802.1x – 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 Access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6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Konfigurovatelná kombinace pořadí postupného ověřování zařízení na portu (IEEE 802.1x, MAC adresou, Web autentizací)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7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Integrace IEEE 802.1x s IP telefonním prostředím (802.1x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Multi-domain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authentication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8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provozu 802.1x v tzv. audit módu bez omezování přístupu koncových uživatelů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9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0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VLAN Rapid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Spanning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(PVRST+) nebo ekvivalentní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802.1w - Rapid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2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Protokol MVRP nebo VTP pro definici a správu VLAN sítí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3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Podpora jumbo rámců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(min. 9198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4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Detekce protilehlého zařízení (např. CDP nebo LLDP)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5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Směrování protokolů IPv4 a IPv6 v hardware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6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OSPFv2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7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OSPFv3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8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Flexible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segmentation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(VRF, BGP-EVPN s VXLAN)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9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(PIM SSM, PIM SM)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uRPF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pro IPv4 i IPv6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2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IGMPv2, IGMPv3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3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IGMP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4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5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DHCP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relay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6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HW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front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7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ACL,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8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9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Priority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Queue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0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Automatické nastavení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parametrů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ekvivalentní)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2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QoS-Hierarchical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min. 2 úrovně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3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Protokol pro IPv4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IPv6 (HSRP nebo VRRP)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4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(Telnet, SSH,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Syslog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DHCP)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5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6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Bezpečnost: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IPv6 Port ACL, VLAN 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7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DHCPv6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IPv6 Source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8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definovat povolené MAC adresy na portu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9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PACL, VACL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0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Paketové filtry (ACL) jsou stále aplikovány a filtrují i v případě, že jsou na nich prováděny změny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802.1ae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portech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ochranu proti podvržení zdrojové MAC a IP adresy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3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ochranu proti připojení neautorizovaného DHCP serveru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4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Bezpečnostní funkce umožňující inspekci provozu protokolu ARP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5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Ochrana proti nahrání modifikovaného software do zařízení prostřednictvím image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 funkce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6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 pro bezpečné uložení hesel a šifrovacích klíčů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7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Podpora SUDI (IEEE 802.1ar) autentizace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8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Automatická aplikace specifické konfigurace pro dané zařízení po detekci jeho připojení na portu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9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Monitorování aplikačních toků (všech paketů)  prostřednictvím technologie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nebo ekvivalentní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70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Možnost definice klíčových atributů a parametrů monitorovaných toků včetně parametrů: zdrojová/cílová MAC adresa, zdrojová/cílová IP adresa,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zdrojová/cílová  VLAN, TCP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TCP sekvenční čísla, hodnota TTL, ICMP kód, IGMP type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Export monitorovaných dat ve formátu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v9 nebo IPFIX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2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Management: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SSHv2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3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 rozhraní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4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Vzdálená identifikace zařízení pomocí dálkově řízené LED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5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amovatelnost prostřednictvím RESTCONF, NETCONF/YANG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6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Interpretace uživatelských skriptů a jejich aktivace asynchronní událostí v systému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7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Streaming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telemetrie prostřednictvím NETCONF/XML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8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SNMPv3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9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přes IPv4 i IPv6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0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Integrovaná RFID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identifikace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1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TACACS+ nebo RADIUS klient pro AAA (autentizace, autorizace,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2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NTPv3 server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3 Copy 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</w:tbl>
    <w:p w:rsidR="00024E3F" w:rsidRDefault="004511AA">
      <w:r>
        <w:br w:type="page"/>
      </w:r>
    </w:p>
    <w:p w:rsidR="00024E3F" w:rsidRDefault="00024E3F"/>
    <w:tbl>
      <w:tblPr>
        <w:tblW w:w="957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4613"/>
        <w:gridCol w:w="3256"/>
        <w:gridCol w:w="82"/>
        <w:gridCol w:w="1624"/>
      </w:tblGrid>
      <w:tr w:rsidR="00024E3F" w:rsidTr="007B1DA9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Přepínač typ 2c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produktového čísla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požadovaného odkazu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 ANO/NE</w:t>
            </w:r>
          </w:p>
        </w:tc>
      </w:tr>
      <w:tr w:rsidR="00024E3F">
        <w:trPr>
          <w:cantSplit/>
          <w:trHeight w:val="37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Základní vlastnosti: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 přepínače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L2/L3 přepínač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Formát přepínače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Stohovatelný, 1RU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 dedikovaných stohovacích portů volitelného stohovacího modulu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počet zařízení ve stohu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kapacita sběrnice stohu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 rámci stohu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instalovat interní redundantní napájecí zdroj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Redundantní ventilátory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Datový stohovací kabel požadován 1m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 portů 10/100/1000 Base-TX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porty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4x1GE SFP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velikost sdíleného systémového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bufferu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6MB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Velikost MAC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tabulky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IPv4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konfigurovatelných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ACL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802.3ad (Link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802.3ad přes více přepínačů ve stohu nebo více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šasis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Minimálně 8 linek jako součást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trunku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konfigurovatelných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trunků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802.1q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počet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aktivních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VLAN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802.1x – 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 Access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Konfigurovatelná kombinace pořadí postupného ověřování zařízení na portu (IEEE 802.1x, MAC adresou, Web autentizací)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Integrace IEEE 802.1x s IP telefonním prostředím (802.1x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Multi-domain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authentication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provozu 802.1x v tzv. audit módu bez omezování přístupu koncových uživatelů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VLAN Rapid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Spanning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(PVRST+) nebo ekvivalentní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802.1w - Rapid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Protokol MVRP nebo VTP pro definici a správu VLAN sítí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jumbo rámců (min. 9198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Detekce protilehlého zařízení (např. CDP nebo LLDP)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Směrování protokolů IPv4 a IPv6 v 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rdware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OSPFv2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OSPFv3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Flexible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segmentation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(VRF, BGP-EVPN s VXLAN)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ISIS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(PIM SSM, PIM SM)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uRPF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pro IPv4 i IPv6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IGMPv2, IGMPv3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IGMP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DHCP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relay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HW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front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ACL,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Priority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Queue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Automatické nastavení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parametrů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nebo 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vivalentní)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Policing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QoS-Hierarchical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min. 2 úrovně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Protokol pro IPv4 i IPv6 (HSRP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nebo VRRP)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(Telnet, SSH,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Syslog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DHCP)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lastRenderedPageBreak/>
              <w:t>Bezpečnost: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IPv6 Port ACL, VLAN ACL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DHCPv6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IPv6 Source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definovat povolené MAC adresy na portu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PACL, VACL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Paketové filtry (ACL) jsou stále aplikovány a filtrují i v případě, že jsou na nich prováděny změny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povýšením firmware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802.1ae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portech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ochranu proti podvržení zdrojové MAC a IP adresy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ochranu proti připojení neautorizovaného DHCP serveru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inspekci provozu protokolu ARP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4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Ochrana proti nahrání modi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fikovaného software do zařízení prostřednictvím image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 funkce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 pro bezpečné uložení hesel a šifrovacích klíčů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Podpora SUDI (IEEE 802.1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ar) autentizace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Automatická aplikace specifické konfigurace pro dané zařízení po detekci jeho připojení na portu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Monitorování aplikačních toků (všech paketů)  prostřednictvím technologie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nebo ekvivalentní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Možnost definice klíčových atributů a parametrů monitorovaných toků včetně parametrů: zdrojová/cílová MAC adresa, zdrojová/cílová IP adresa, zdrojová/cílová  VLAN, TCP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TCP sekvenční čísl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hodnota TTL, ICMP kód, IGMP type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Export monitorovaných dat ve formátu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v9 nebo IPFIX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Management: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SSHv2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CLI rozhraní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Vzdálená identifikace zařízení pomocí dálkově řízené LED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programovatelnost prostřednictvím RESTCONF, NETCONF/YANG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Interpretace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uživatelských skriptů a jejich aktivace asynchronní událostí v systému zařízení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Streaming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telemetrie prostřednictvím NETCONF/XML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SNMPv3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přes IPv4 i IPv6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Integrovaná RFID identifikace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6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TACACS+ nebo RADIUS klient pro AAA (autentizace, autorizac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6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NTPv3 server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16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</w:tbl>
    <w:p w:rsidR="00024E3F" w:rsidRDefault="004511AA">
      <w:r>
        <w:br w:type="page"/>
      </w:r>
    </w:p>
    <w:p w:rsidR="00024E3F" w:rsidRDefault="00024E3F"/>
    <w:tbl>
      <w:tblPr>
        <w:tblW w:w="957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4613"/>
        <w:gridCol w:w="3338"/>
        <w:gridCol w:w="1624"/>
      </w:tblGrid>
      <w:tr w:rsidR="00024E3F" w:rsidTr="007B1DA9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Přepínač typ 2d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Uvedení produktového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čísla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požadovaného odka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zu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 ANO/NE</w:t>
            </w:r>
          </w:p>
        </w:tc>
      </w:tr>
      <w:tr w:rsidR="00024E3F">
        <w:trPr>
          <w:cantSplit/>
          <w:trHeight w:val="378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Základní vlastnosti: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 přepínače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L2/L3 přepínač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Formát přepínače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Stohovatelný, 1RU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 dedikovaných stohovacích portů volitelného stohovacího modulu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zařízení ve stohu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kapacita sběrnice stohu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Sdílení výkonu napájecích zdrojů napříč celým stohem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 rámci stohu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Non-stop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Forwarding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instalovat interní redundantní napájecí zdroj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povyšovat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modul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Redundantní ventilátory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Redundantní ventilátory vyměnitelné za chodu zařízení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Interní redund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antní napájecí zdroj požadován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Volný slot pro redundantní zdroj požadován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budget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 W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Datový stohovací kabel požadován 1m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portů 100M/1/2,5/5/10Gbps s 90W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napájením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 Copy 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4x40/100GE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QSFP28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velikost sdíleného systémového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bufferu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32MB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Velikost MAC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tabulky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IPv4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počet konfigurovatelných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802.3ad (Link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IEEE 802.3ad přes více pře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pínačů ve stohu nebo více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šasis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Minimálně 8 linek jako součást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trunku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konfigurovatelných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trunků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802.1q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počet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aktivních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802.1x – 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 Access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Konfigurovatelná kombinace pořadí postupného ověřování zařízení na portu (IEEE 802.1x, MAC adresou, Web autentizací)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Integrace IEEE 802.1x s IP telefonním prostředím (802.1x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Multi-domain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authentication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provozu 802.1x v tzv. audit módu bez omezování přístupu koncových uživatelů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VLAN Rapid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Spanning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(PVRST+) nebo ekvivalentní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802.1w - Rapid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Protokol MVRP nebo VTP pro definici a správu VLAN sítí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jumbo rámců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(min. 9198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Detekce protilehlého zařízení (např. CDP nebo LLDP)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Směrování protokolů IPv4 a IPv6 v hardware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OSPFv2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OSPFv3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LISP dle RFC 6830 nebo ekvivalentní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BGPv4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VXLAN s BGP EVPN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uvnitř VRF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Graceful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Insertion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Removal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(PIM SSM, PIM SM)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Virtualizace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směrovacích tabulek - např.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Virtual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Forwarding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(VRF)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MPLS VPN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MPLS VPN přes GRE tunely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MPLS VPN - 6VPE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VXLAN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enkapsulace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Reverse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uRPF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pro IPv4 i IPv6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IGMPv2, IGMPv3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IGMP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MLD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DHCP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relay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HW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front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ACL,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Strict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Priority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Queue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Automatické nastavení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parametrů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nebo ekvivalentní)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QoS-Hierarchical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min. 2 úrovně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Protokol pro IPv4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IPv6 (HSRP nebo VRRP)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(Telnet, SSH,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Syslog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DHCP)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Bezpečnost: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IPv6 Port ACL, VLAN 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DHCPv6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IPv6 Source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Možnost definovat povolené MAC adresy na portu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PACL, VACL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Paketové filtry (ACL) jsou stále aplikovány a filtrují i v případě, že jsou na nich prováděny změny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802.1ae na všech portech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802.1ae (AES-GCM-256) na všech portech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enkrypce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hardware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Podporuje, min.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Gbps</w:t>
            </w:r>
            <w:proofErr w:type="spellEnd"/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IKEv2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Bezpečnostní funkce umožňující ochranu proti podvržení zdrojové MAC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 adresy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ochranu proti připojení neautorizovaného DHCP serveru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Bezpečnostní funkce umožňující inspekci provozu protokolu ARP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Ochrana proti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nahrání modifikovaného software do zařízení prostřednictvím image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 funkce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modul pro bezpečné uložení hesel a šifrovacíc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klíčů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Podpora SUDI (IEEE 802.1ar) autentizace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Automatická aplikace specifické konfigurace pro dané zařízení po detekci jeho připojení na portu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gateway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Monitorování aplikačních toků (všech paketů)  prostřednictvím technologie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nebo ekvivalentní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7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Možnost definice klíčových atributů a parametrů monitorovaných toků včetně parametrů: zdrojová/cílová MAC adresa, zdrojová/cílová IP adresa,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zdrojová/cílová  VLAN, TCP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TCP sekvenční čísla, hodnota TTL, ICMP kód, IGMP type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Schopnost detekce bezpečnostních hrozeb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 šifrovaném provozu, např. v HTTPS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Export monitorovaných dat ve formátu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v9 nebo IPFIX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Management: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SSHv2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 rozhraní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Vzdálená identifikace zařízení pomocí dálkově řízené LED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programovatelnost prostřednictvím RESTCONF, NETCONF/YANG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Interpretace uživatelských skriptů a jejich aktivace asynchronní událostí v systému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hosting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Aplikace softwarových záplat, nikoli povyšování celého firmware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Streaming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telemetrie prostřednictvím NETCONF/XML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SNMPv3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7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network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přes IPv4 i IPv6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Integrovaná RFID identifikace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TACACS+ nebo RADIUS klient pro AAA (autentizac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autorizace,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NTPv3 server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83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024E3F" w:rsidRDefault="00024E3F"/>
    <w:p w:rsidR="00024E3F" w:rsidRDefault="004511AA">
      <w:r>
        <w:br w:type="page"/>
      </w:r>
    </w:p>
    <w:p w:rsidR="00024E3F" w:rsidRDefault="00024E3F"/>
    <w:tbl>
      <w:tblPr>
        <w:tblW w:w="957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4613"/>
        <w:gridCol w:w="3338"/>
        <w:gridCol w:w="1624"/>
      </w:tblGrid>
      <w:tr w:rsidR="00024E3F" w:rsidTr="007B1DA9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Datacentrový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přepínač typ 2e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5 Copy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Uvedení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produktového čísla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žadovaného odkazu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 ANO/NE</w:t>
            </w:r>
          </w:p>
        </w:tc>
      </w:tr>
      <w:tr w:rsidR="00024E3F">
        <w:trPr>
          <w:cantSplit/>
          <w:trHeight w:val="378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Základní vlastnosti: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 přepínače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L2 nebo L3 přepínač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Formát přepínače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Fixní, 1RU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Redundantní AC zdroj, výdech teplého vzduchu na straně portů, napájecí kabely min. délky 2m s koncovkou IEC 60320 C14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propustnost přepínače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Tbps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velikost operační paměti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GB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7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aktivních neblokovaných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portů typu 1/10/25GE s volitelným fyzickým rozhraním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aktivních neblokovaných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portů 40/100GE s volitelným fyzickým rozhraním typu QSFP28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dual-rate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40/100GE QSFP rozhraní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VXLAN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např. formou licence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VXLAN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MP-BGP EVPN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plane, podporu EVPN Route Type 2 (MAC/IP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Advertisement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Route), Route Type 3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Route), Route Type 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Segment Route) a Route Type 5 (IP Prefix Route), např. formou licence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VXLAN infrastruktuře, např. formou licence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802.3ad (Link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802.3ad přes více přepínačů ve stohu nebo více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šasis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Minimálně 32 linek jako součást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Minimální počet konfigurovatelných Link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Aggregation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Groups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jumbo rámců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(min. 9198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802.1Q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 Copy 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počet aktivních VLAN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instance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spanning-tree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protokolu per VLAN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802.1w - Rapid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Detekce protilehlého zařízení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(např. LLDP)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Minimální počet MAC záznamů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  ACL,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DSCP,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Priority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(IEEE 802.1Qbb)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packet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prioritization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velikost sdíleného systémového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bufferu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MB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zobrazit využití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bufferů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port a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 reálném čase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RoCEv2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(RDMA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Converged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Podpora technologie IEEE 802.1AE (AES-GCM-XPN-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256) na všech SFP a QSFP portech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PTP (IEEE 1588) včetně PTP Telecom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profile (G.8275.1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Synchronous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např. formou licence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IPv4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např. formou licence – minimální počet host IPv4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1M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např. formou licence – minimální počet host 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Redundancy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Protokol (např. VRRP, HSRP) pro IP4 i IPv6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IPv4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 podporou IGMPv2, IGMPv3, např. formou licence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Možnost rozšířit funkcionalitu přepínače o 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mutlicast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 podporou MLDv2, 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př. formou licence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IGMP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 ACL, VLAN ACL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IPv6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DHCPv6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snooping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přepínače o line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telemetrii (schopnost monitorovat každý paket, každý datový tok procházející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přepínačem), např. formou licence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export 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telemetrie ve formátu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v9 nebo IPFIX, např. fo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rmou licence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Ochrana proti nahrání modifikovaného software do zařízení prostřednictvím image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funkce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která ověřuje autentičnost a integritu jak samotného operačního systém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u, tak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bootloaderu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to prostřednictvím nemodifikovatelných interních HW prostředků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funkce umožňující administrátorovi ověřit, že zařízení skutečně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nabootovalo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důvěryhodný operační systém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Operační systém zařízení využívá nástroje, které znemožňují injektovat škodlivý kód do běžícího systému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Ochrana proti modifikaci HW prostředků zařízení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využívající X.509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PKI pro ověření autentičnosti HW prostředků zařízení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programovatelnost prostřednictvím NETCONF/YANG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RESTConf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Python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scripting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Ansible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programming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streaming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telemetrii umožňující kolekci a posílání stavových a statistických informací přímo z HW přepínače, např. formou licence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Možnost bezobslužného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provisioningu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nekonfigurovaného zařízení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 rozhraní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SSHv2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SNMPv3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NTP server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RADIUS klient pro AAA (autentizace, autorizace,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TACACS+ klient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rozšířit funkcionalitu přepínače o vzdálený 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mirroring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přes L3 směrovanou síť, např. formou licence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Syslog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Access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</w:tbl>
    <w:p w:rsidR="00024E3F" w:rsidRDefault="00024E3F"/>
    <w:p w:rsidR="00024E3F" w:rsidRDefault="004511AA">
      <w:r>
        <w:br w:type="page"/>
      </w:r>
    </w:p>
    <w:p w:rsidR="00024E3F" w:rsidRDefault="00024E3F" w:rsidP="007B1DA9"/>
    <w:tbl>
      <w:tblPr>
        <w:tblW w:w="957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4613"/>
        <w:gridCol w:w="3338"/>
        <w:gridCol w:w="1624"/>
      </w:tblGrid>
      <w:tr w:rsidR="00024E3F" w:rsidTr="007B1DA9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4511AA" w:rsidP="007B1DA9">
            <w:pPr>
              <w:shd w:val="clear" w:color="auto" w:fill="DBE5F1" w:themeFill="accent1" w:themeFillTint="33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HW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appliance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nástroje správy sítě typ 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024E3F" w:rsidP="007B1DA9">
            <w:pPr>
              <w:shd w:val="clear" w:color="auto" w:fill="DBE5F1" w:themeFill="accent1" w:themeFillTint="33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024E3F" w:rsidP="007B1DA9">
            <w:pPr>
              <w:shd w:val="clear" w:color="auto" w:fill="DBE5F1" w:themeFill="accent1" w:themeFillTint="33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5 Copy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Uvedení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produktového čísla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žadovaného odkazu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 ANO/NE</w:t>
            </w:r>
          </w:p>
        </w:tc>
      </w:tr>
      <w:tr w:rsidR="00024E3F">
        <w:trPr>
          <w:cantSplit/>
          <w:trHeight w:val="378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Základní vlastnosti: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Centralizovaný síťový kontrolér a management systém pro drátovou a bezdrátovou (LAN i WLAN)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infrastrukturu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Formát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Hardware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nesmí být v cestě datovému toku sítě. To znamená, že veškerý datový provoz koncových bodů nebude muset procházet platformou pro jakoukoli komunikaci s jinými koncovými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 / externí sítí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musí poskytovat webové rozhraní pro jednotnou správu drátové a bezdrátové sítě poskytující integrovaný pohled na drátovou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bezdrátovou síť. Poskytuje správci rychlý a snadný pohled na stav sítě, umožňující snadnou identifikaci výpadků, izolaci problémů v síti a obsahující doporučení pro identifikaci nápravy hlavních příčin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poskytuje grafické zobrazení topologie sítě s možností vyhledávání a exportu. Vytvoření mapy fyzické topologie sítě lokality na základě rolí jednotlivých síťových prvků softwarově definované sítě.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Možnost umístění lokality do mapy na základě adresy lokality nebo GPS souřadnice. Možnost organizovat síťovou hierarchii organizace do oblastí, budov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pateř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7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Automatizace poskytovaná platformou je založená na politikách. Zjednodušuje a abstrahuje od složitosti správy sítě při nasazování a vynucování politiky v celé síti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umožňuje automatizaci nastavení standardních síťových služeb (DNS, DHCP, AAA, přístupová oprávnění, monitoring) pro síťová zařízení podle lokality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podporuje centralizovanou správu standardních konfigurací s využitím konfiguračních šablon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umožňuje automatizaci provozních změn – modifikaci chování síťového zařízení aplikací konfigurační šablony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umožnit kontrolu (náhled) plánované konfigurační změny před její aktivací na síťovém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poskytnout detailní informace o výsledku požadavku na provedení konfigurační změny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musí zobrazit informace o provedených konfiguračních změnách síťového zařízení včetně změn nerealizovaných centralizovaným síťovým kontrolérem – tzv.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-band změny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poskytovat podrobný soupis a inventář zařízení uspořádaný podle typu zařízení, jména, IP adresy, MAC adresy, firmware, sériového čísla a 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nfigurace. Tento inventář musí být možno automaticky aktualizovat minimálně po každých 30 minutách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musí poskytovat informace o stavu životního cyklu spravovaných síťových zařízení pro snadnou identifikaci zařízení se známým datem blížícího se konce podpory výrobce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apod.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Platforma podporuje automatické zprovoznění nových zařízení – jejich nalezení, zajištění bezpečné komunikace s kontrolérem, zavedení do inventáře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pod správu, upgrade na požadovanou verzi programového vybavení a konfiguraci s využitím základní konfigurační šablony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podporuje tvorbu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konfiguračních šablon 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Velocity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jejich skládání do kompozitních šablon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 Copy 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</w:rPr>
              <w:t>Konfigurační šablony musí podporovat definici proměnných různých, definici jejich implicitních hodnot a vazbu na databázi platformy (např. seznam rozhraní konkrétního zařízení)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Aplikace šablon na zařízení musí být možná okamžitě nebo později v definovaném časovém okamžiku nebo pouze vygenerovat náhled konfigurace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poskytovat nástroj pro simulaci konfiguračních šablon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Šablony mohou být přiřazeny k zařízení na základě lokality, modelu a značky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umožňuje mít integrovaný modul síťové analýzy a také funkce kognitivní analýzy prostřednictvím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 řešení problémů se sítí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Přístup ke kontrolérům musí být možný na základě rolí (pouze čtení, povolené změny a administrátor)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poskytovat informace o provedených změnách (kdo, co, kdy) – auditní logy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musí podporovat následující standardní protokoly, které jí umožňují komunikovat se síťovými zařízeními: NETCONF, SSH, SNMP,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HTTP(S)</w:t>
            </w:r>
            <w:proofErr w:type="gram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podporovat autentizaci pomocí TACACS a RADIUS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poskytovat otevřená rozhraní API pro vytváření inteligentní, otevřené a programovatelné sítě/fabriky pro konfiguraci pokročilých automatizačních služeb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Platforma musí poskytovat otevřená rozhraní API pro zasílání událostí z monitoringu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podporovat rozhraní API REST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Transfer)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musí podporovat automatické aktualizování software kontroléru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přes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tethering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musí podporovat automatické aktualizace aplikací kontroléru prostřednictvím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cloudového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tetheringu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podporovat režim redundance s plnou perzistencí dat pro vysokou dostupnost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poskytuje centrální správu bezdrátových sítí (SSID) pro jednotlivé lokality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latforma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poskytuje mapy síly signálu bezdrátové sítě včetně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heatmap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 síly signálu a jeho kvality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Platforma umožňuje 3D vizualizaci bezdrátového signálu včetně možnosti simulace změn a automatické detekce problémů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umožňuje lokalizování polohy klientů po integraci s volitelným lokalizačním serverem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umožňovat jednoduchou a centralizovanou definici síťových a bezpečnostních politik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musí podporovat dvouúrovňovou segmentaci sítě založenou na politikách pro uživatele, zařízení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pomocí automatizovaného nasazení síťové infrastruktury jako fabriky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 musí podporovat integraci s dalšími bezpečnostními zařízeními prostřednictvím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Exchange GRID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pxGrid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který využívá mnoho dodavatelů zabezpečení, jako jsou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LogRhythm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Splunk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Huntsman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Infoblox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Ping Identity, Cisco ISE a mnoho dalších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registrace a správy příslušných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licencí připojených síťových prvků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Podpora simulace a konfigurace vysílacích parametrů bezdrátové sítě na základě algoritmů strojového učení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Podpora integrace s nástroji pro plánování rozmístění jednotlivých AP (např.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v rámci importu mapových podkladů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Poskytuje informace o spravované síti a jejím stavu ve formě reportů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Kontrolér musí podporovat správu obrazů softwaru aktivních prvků, udržovat centrální úložiště obrazů programového vybavení zařízení a aplikovat je jednotlivě i najednou na více zař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ízení (například ve stohu)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Kontrolér musí podporovat správu obrazů softwarových oprav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 aplikovat je jednotlivě i najednou na více zařízení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(například ve stohu)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Kontrolér musí umožnit definovat softwarovou politiku, jaký konkrétní obraz softwaru aktivního prvku je 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síti a / nebo v lokalitě standardem pro rodinu zařízení a / nebo roli zařízení (přístup, distribuce, jádro sítě)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Kontrolér musí umožnit operátorovi jed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noduchou identifikaci aktivních prvků, které vyžadují změnu obrazu software z důvodu změny v softwarové politice nebo protože stávající obraz aktivního prvku není v souladu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platnou politikou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Funkce správy obrazu softwaru musí podporovat provádění předběžných kontrol inventáře zařízení ohledně dostupnosti doporučeného prostoru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paměti. Po nasazení (aktualizaci softwarového obrazu) musí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zkontrolovat úspěšnou aktivaci nainstalovaného obrazu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musí podporovat HTTPS, SFTP a SCP pro distribuci softwarových obrazů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Kontrolér musí podporovat plánování distribuce a aktivace obrazů softwaru na jednotlivá síťová zařízení ve fabrice i mimo fabriku. Distribuci a aktivaci musí být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možno provést v rozdílný čas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Kontrolér musí být schopen indikovat, že softwarový obraz (verze programového vybavení) je zasažen bezpečnostní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zranitelností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Kontrolér musí být schopen indikovat, že software provozovaný na síťovém zařízení je zasažen známou významnou chybou relevantní k provozovaným funkcionalitám a umožnit tento incide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 řešit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Kontrolér musí podporovat sladění charakteristik softwarového obrazu se softwarovou politikou u nově zprovozňovaných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zařízení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Zobrazení informace o monitorované síti / vybrané části sítě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Zobrazení informace o monitorovaných aktivních prvcích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Zobrazení informace o připojených drátových a bezdrátových koncových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stanicích a uživatelích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Zobrazení informace o využívaných aplikacích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Zobrazení informace o aplikacích používaných jednotlivými drátovými i bezdrátovými klienty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Zobrazení informace o využití napájení v rámci sítě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Schopnost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zobrazení cizích AP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AP) a klientů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možnost vynuceného odpojení klientů prostřednictvím infrastruktury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detekce rušivých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signálů (interference) a identifikace zdrojů interference na základě signatur včetně automatického záchytu detekovaného provozu a lokalizace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Detekce problémů s klientem / koncovým bodem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Detekce problémů se síťovými zařízeními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Podporuje, formou povýšení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Uvedení doporučených nápravných kroků pro každý zjištěný výpadek nebo problém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Uchování 24 hodin provozní historie sítě umožňující analýzu stavu sítě stejnými postupy jako u právě probíhajících výpadků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Uchování minimálně 14 denní provozní historie sítě umožňující analýzu i řešení výpadků a problémů, ke kterým došlo v minulosti, stejnými postupy jako u právě probíhajících výpadků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Podporuje, formou povýšení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Detailní zobrazení stavu a provozní historie síťového zařízení, souvisejících událostí, problémů a topologie připojení sousedních aktivních prvků v analyz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ovaném čase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Detailní zobrazení stavu a provozní historie klienta / koncového bodu, souvisejících událostí, problémů, detail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síťového připojení v analyzovaném čase a přehled využívaných aplikací včetně výkonnostních parametrů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jitter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throughput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Využití metod strojového učení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lokálně nebo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výrobce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Využití metod automatického uvažování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Reasoning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v rámci postupů pro řešení vybraných typů problémů.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Možnost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spektrální analýzy a záchytu bezdrátové komunikace s automatickým vyhodnocením anomálií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Automatické vytváření vzoru chování sí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 pro identifikaci anomálií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Automatická klasifikace koncových zařízení a vyhodnocování anomálií na základě DPI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Packet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a telemetrických dat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Platforma poskytuje funkce pro automatizaci výměny vadného zařízení novým zařízením při zachov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ání konfigurace a monitoring historie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Postup pro výměnu stávajícího AP – jeho nahrazení novým (typicky modernizace)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Možnost změnit stav identifikační led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u zařízení, kde je identifikační led podporována, z centralizovaného management a monitoring systému pro snadnou identifikaci zařízení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vyžadujícího zásah lokálním správcem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počet man-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podpory při nasazení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024E3F" w:rsidRDefault="004511AA">
      <w:r>
        <w:br w:type="page"/>
      </w:r>
    </w:p>
    <w:p w:rsidR="00024E3F" w:rsidRDefault="00024E3F"/>
    <w:tbl>
      <w:tblPr>
        <w:tblW w:w="957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4613"/>
        <w:gridCol w:w="3338"/>
        <w:gridCol w:w="1624"/>
      </w:tblGrid>
      <w:tr w:rsidR="00024E3F" w:rsidTr="007B1DA9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3" w:name="_GoBack" w:colFirst="0" w:colLast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Pár HW Nex-Gen Firewall typ 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024E3F" w:rsidRDefault="00024E3F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bookmarkEnd w:id="3"/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Výrobce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výrobce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5 Copy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Produktové číslo (typ) nabízeného zařízení (v případě, že je zařízené popsáno více produktovými čísly, uvede Uchazeč hlavní produktové číslo nabízeného zařízení)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produktové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ho čísla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Odkaz na www stránky výrobce zařízení, kde je k dispozici detailní technická specifikace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DataSheet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) v českém nebo anglickém jazyce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Uvedení požadovaného odkazu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Požadavek na funkcionalitu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Min. požadavky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Splňuje ANO/NE</w:t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-Gen Firewall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Formát zařízení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2 kusy HW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appliance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1 RU/kus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Dedikovaný 1GB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port pro management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Minimální počet 1GE portů s fyzickým rozhraním typu RJ45 (10M/100M/1G)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Minimální počet 10GE portů s fyzickým rozhraním typu SFP+ (1/10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Gbps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7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Podporovaný po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čet současně otevřených spojení aplikačního FW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400 K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Rychlost vytváření nových spojení přes aplikační FW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50 K/sec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8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Propustnost aplikačního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FW (top parametry)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Gbps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Propustnost aplikačního FW + IPS (top parametry)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Gbps</w:t>
            </w:r>
            <w:proofErr w:type="spellEnd"/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9 Copy 3 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Propustnost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IPsec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VPN (top parametry)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Gbps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Propustnost TLS – HW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decryption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(top par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ametry)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2,5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Gbps</w:t>
            </w:r>
            <w:proofErr w:type="spellEnd"/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L2 (transparentního) módu s podporou NAT a PAT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L3 (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routovaného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) módu s podporou NAT a PAT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transparentního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inline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IPS módu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Pro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inline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IPS režim jsou k dispozici karty/rozhraní s HW bypass (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Fail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Wire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Minimální počet VLAN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jc w:val="center"/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1024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3 Copy 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stateful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failover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v režimu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standby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stateful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failover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v režimu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active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zvyšování výkonu pomocí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clusterování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firewallů – sloučení firewallů do jednoho logického clusteru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lastRenderedPageBreak/>
              <w:t>Cluster firewallů se musí vzhledem k další infrastruktuře tvářit jako jeden prvek s podporou LACP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Cluster podporuje stavovou inspekci nesymetrického provozu vstupující do různých firewallů clusteru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Možnost sloučení více fyzických rozhraní do jednoho logického s rozkladem zátěže a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podorou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LACP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1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OSPF, BGP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IPv6 dynamického směrování – OSPFv3, BGP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Policy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Routing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Kontrola paketů TCP provozu s ochranou před </w:t>
            </w:r>
            <w:proofErr w:type="gramStart"/>
            <w:r>
              <w:rPr>
                <w:rFonts w:ascii="Times New Roman" w:hAnsi="Times New Roman" w:cstheme="minorHAnsi"/>
                <w:sz w:val="24"/>
                <w:szCs w:val="24"/>
              </w:rPr>
              <w:t>útoky jejichž</w:t>
            </w:r>
            <w:proofErr w:type="gram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cílem je obejít bezpečnostní prvky nestandardním rozkladem dat do paketů, fragmentací, apod.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Filtrace IPv4, IPv6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Možnost filtrace podle identity uživatele nebo jeho skupiny definované v </w:t>
            </w:r>
            <w:proofErr w:type="gramStart"/>
            <w:r>
              <w:rPr>
                <w:rFonts w:ascii="Times New Roman" w:hAnsi="Times New Roman" w:cstheme="minorHAnsi"/>
                <w:sz w:val="24"/>
                <w:szCs w:val="24"/>
              </w:rPr>
              <w:t>AD</w:t>
            </w:r>
            <w:proofErr w:type="gram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filtrace podle bezpečnostních skupinových rolí přiřazených na přístupových přepínačích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Možnost filtrace komunikace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Botnet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sítě s využitím datab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ází o důvěryhodnosti adres v Internetu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NAT64 a DNS64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řízení rychlosti datových toků na úrovni pravidel FW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2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Funkce IPS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rozšíření o funkce URL filtrace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Možnost rozšíření o funkce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antimalware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filtrace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Podporuje, formou povýšení licence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Bezpečnostní pravidla mohou kromě adres a portů zohlednit i identitu uživatele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FQDN v přístupových pravidlech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časových informací v přístupových filtrech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Zohlednění kontextových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informací o koncovém zařízení (typ, stav, spod.) a využití ve filtrech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API rozhraní pro sdílení kontextových informací s dalšími systémy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Možnost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definovat typ provozu předávaný k inspekci do IPS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3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také IDS režimu – pasivního monitorování (TAP režim)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lastRenderedPageBreak/>
              <w:t>Možnost definovat režim provozu při zahlcení nebo nedostupnosti IPS funkcí (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fail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open,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fail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close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obejití IPS funkcí při zahlcení nebo nedostupnosti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802.1Q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tagovaných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rámců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různých IPS  politik pro různé typy provozu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Inspekce pro IPv4 i IPv6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funkce Adaptivní konfigurace filtrů, která upozorní, případně vypne filtr, který může způsobit zahlcení systému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IPS musí obsahovat filtry/signatury popisující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exploity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, zranitelnosti, krádeže identity,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spyware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, viry, průzkumné aktivity, ochranu síťové infrastruktury, IM aplikace, P2P sítě a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nástroje na kontrolu toku multimédií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automatické aktualizace filtrů/signatur,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geolokační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databáze, databáze zranitelností a databáze systémů na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internetu s poškozenou reputací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aplikace pro psaní zákaznických filtrů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importu komunitních filtrů/signatur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Snort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IPS musí umět detekovat a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blokovat útoky průzkumných aktivit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IPS musí podporovat adaptivní ochranu filtrů proti přetížení či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DoS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útoku na IPS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IPS musí umět detekovat a blokovat útoky na základě IP adresy, nebo DNS jména „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known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bad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host“ jako je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spyware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phishing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nebo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Botnet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C&amp;C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IPS musí umět detekovat a blokovat útoky proti síťové infrastruktuře firmy, jako jsou přepínače,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routery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, firewall, bezdrátové přepínače a podobně. Dále musí poskytovat i ochranu p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ro protokoly využívané v IP telefonii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Odkaz na CVE a dokumentaci ke známým bezpečnostním incidentům přímo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hyperlinkovým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odkazem z dané bezpečnostní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události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vyhledávání typu signatury v centrální databázi dodavatele podle typu a závažnosti útoku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Funkce pro kontrolu DLP (např. pomocí IPS signatur)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lastRenderedPageBreak/>
              <w:t xml:space="preserve">Podpora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vrstvev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IPS politik s možností volit předdefinované politiky v základní vrstvě orientované na bezpečnost nebo naopak minimalizace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false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-positive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aplikace vrstvy doporučených politik, kterou generuje přímo IPS podle pasivního sledování lokálního prostředí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4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definice uživatelské vrstvy politik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Předefinování pravidel přes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vrstvy IPS politik = platí relevantní pravidla v nejvyšší vrstvě IPS politik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Různé politiky lze sdílet a aplikovat na různé senzory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Možnost integrace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s platformou řízení přístupu do sítě (AAA) a řízení karantény</w:t>
            </w:r>
            <w:r>
              <w:rPr>
                <w:rFonts w:ascii="Times New Roman" w:hAnsi="Times New Roman" w:cstheme="minorHAnsi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  <w:lang w:val="en-US"/>
              </w:rPr>
              <w:t>segmentace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koncových stanic na základě firewallem detekovaných incidentů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3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automati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>cké aktualizace IPS signatur podle zranitelností stanic v síti při integraci s detektory zranitelností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4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Propagace detekovaných zranitelnosti CVE do aktivních IPS signatur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5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integrace s XDR a externími systémy analýzy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6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Analytické a detekční </w:t>
            </w: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nástroje pro práci se šifrovaným provozem i bez jeho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dekrypce</w:t>
            </w:r>
            <w:proofErr w:type="spellEnd"/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7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Aplikační signatury i pro SSL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encrypted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provoz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8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SSL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dekrypce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i pro TLS 1.3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59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Možnost definovat pravidla SSL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dekrypce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i pro provoz TLS 1.3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0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Možnost definovat různé přístupové politiky pro různé typy provozu, např. podle domén, VLAN, konkrétních FW, apod.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Podpora pasivního monitorování (TAP režim)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Podpora 802.1Q 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tagovaných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rámců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SSL/TLS inspekce (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dekrypce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theme="minorHAnsi"/>
                <w:sz w:val="24"/>
                <w:szCs w:val="24"/>
              </w:rPr>
              <w:t>enkrypce</w:t>
            </w:r>
            <w:proofErr w:type="spellEnd"/>
            <w:r>
              <w:rPr>
                <w:rFonts w:ascii="Times New Roman" w:hAnsi="Times New Roman" w:cstheme="minorHAnsi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2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Inteligence database – známé uzly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botnet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sítí C&amp;C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Inteligence database – známé adresy anonymních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otevřených mail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apod.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Inteligence database – známé nebezpečné URL adresy a jmenné domény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integrovat vlastní reputační databáze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Podpora komunitních, otevřených standardů popisu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apliací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OpenAppID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Filtry mohou zohlednit roli a identitu uživatele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Podpora rozhraní pro sběr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informací o síťové komunikaci z prvků infrastruktury – přepínače, směrovače (např.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Využití informací z prvků infrastruktury (např.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monitorování a detekci chování sítě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Řešení musí být schopné pasivního sběru informací 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síťových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zařízení a zobrazení: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Typ zařízení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Operační systém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Dodavatel OS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Použité síť.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protokoly</w:t>
            </w:r>
            <w:proofErr w:type="gramEnd"/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Použité síť.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služby</w:t>
            </w:r>
            <w:proofErr w:type="gramEnd"/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Otevřené porty síť.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služeb</w:t>
            </w:r>
            <w:proofErr w:type="gramEnd"/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Potenciální zranitelnosti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Přehled 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síťových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spojení má poskytovat minimálně tyto informace: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Čas startu a konce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Akce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,..)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Důvod případného blokování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Zdroj. a cíl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adresa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Vstupní a výstupní zóna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Vstupní a výstupní rozhraní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Zdroj. a cíl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port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Aplikační protokol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IPS událost, </w:t>
            </w:r>
            <w:r>
              <w:rPr>
                <w:rFonts w:ascii="Times New Roman" w:hAnsi="Times New Roman"/>
                <w:sz w:val="24"/>
                <w:szCs w:val="24"/>
              </w:rPr>
              <w:t>pokud vznikne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Riziková úroveň IPS události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Použitá síťová aplikace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Rizikovost aplikace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„Business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aplikace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Množství přenesených dat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Vzdálené správa přes grafické rozhraní bez nutnosti instalace zvláštního SW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Přístup ke GUI http/https protokolem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vzdáleného přístupu protokolem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SSH přímo do FW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RBAC pro administrátory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oddělení práv správy pro různé FW podle rolí správců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oddělení práv správy bezpečnostních pravidel podle rolí správců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správy pravidel, objektů i přes API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přístupu k textovým logům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přímo ve FW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Možnost centrální </w:t>
            </w:r>
            <w:r>
              <w:rPr>
                <w:rFonts w:ascii="Times New Roman" w:hAnsi="Times New Roman"/>
                <w:sz w:val="24"/>
                <w:szCs w:val="24"/>
              </w:rPr>
              <w:t>správy při nasazení více firewallů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Při centrální správě: možnost sdílených bezpečnostních politik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Při použití clusteru se spravuje pouze jeden logický prvek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Distribuce a správa software firewallu, bezpečnostních update (IPS signatury, databáze zranitelností,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Intelligence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databáze,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geolokační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databáze, apod.), konfigurací, lice</w:t>
            </w:r>
            <w:r>
              <w:rPr>
                <w:rFonts w:ascii="Times New Roman" w:hAnsi="Times New Roman"/>
                <w:sz w:val="24"/>
                <w:szCs w:val="24"/>
              </w:rPr>
              <w:t>ncí, atd. z grafického rozhraní managementu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Zobrazení logů a událostí v grafickém rozhraní správy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Nástroje pro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troubleshooting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testování průchodu paketu firewallem, zachytávání provozu pro pozdější vyhodnocování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Funkce IPS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-Gen FW vyžadující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dlohodobější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ukládání dat, korelace, reporty, apod. musí být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spravovatelné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centrálního monitorovacího a konfiguračního sytému (centrální </w:t>
            </w:r>
            <w:r>
              <w:rPr>
                <w:rFonts w:ascii="Times New Roman" w:hAnsi="Times New Roman"/>
                <w:sz w:val="24"/>
                <w:szCs w:val="24"/>
              </w:rPr>
              <w:t>dohledové konzole)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Centrální dohledová konzole musí být schopna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dohledovat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spravovat více IPS senzorů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-Gen FW funkcí pro možnost korelace, sdíl</w:t>
            </w:r>
            <w:r>
              <w:rPr>
                <w:rFonts w:ascii="Times New Roman" w:hAnsi="Times New Roman"/>
                <w:sz w:val="24"/>
                <w:szCs w:val="24"/>
              </w:rPr>
              <w:t>ení politik, centrální sledování zdraví boxů, apod.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Centrální dohledová konzole musí být schopna poskytovat aktualizaci a distribuci filtrů/signatur </w:t>
            </w:r>
            <w:r>
              <w:rPr>
                <w:rFonts w:ascii="Times New Roman" w:hAnsi="Times New Roman"/>
                <w:sz w:val="24"/>
                <w:szCs w:val="24"/>
              </w:rPr>
              <w:t>automaticky, manuálně a podle časového harmonogramu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Trendy, historické přehledy a statistiky z pohledu aplikací, stanic, komunikace, bezpečnostních inci</w:t>
            </w:r>
            <w:r>
              <w:rPr>
                <w:rFonts w:ascii="Times New Roman" w:hAnsi="Times New Roman"/>
                <w:sz w:val="24"/>
                <w:szCs w:val="24"/>
              </w:rPr>
              <w:t>dentů jsou graficky a tabulkově zobrazeny v GUI dohledové konzole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Přehledy a statistiky na dohledové konzoli lze efektivně filtrovat podle času, typů incidentů, aplikací, koncových stanic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Centrální dohledová konzole musí být schopna vytvářet reporty manuálně a podle časového harmonogramu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 reporty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lze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definovat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template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definující formát a obsah reportu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template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reportů lze definovat proměnné, které se promítnou v aktuálním reportu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grafickém rozhraní dohledové konzole lze definovat uživatelské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dashboardy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typu top-N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Dashboardy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použité v GUI dohledové konzole lze rovnou zahrnout i do reportů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Centrální dohledová konzole musí být schopna exportovat reporty do formátů, jako jsou PDF, HTML, CSV, apod.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Centrální dohledová konzole musí být schopna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integrace s Microsoft AD pro vytváření bezpečnostních politik podle uživatele a skupiny uživatelů.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Podpora korelace událostí na centralizované </w:t>
            </w:r>
            <w:r>
              <w:rPr>
                <w:rFonts w:ascii="Times New Roman" w:hAnsi="Times New Roman"/>
                <w:sz w:val="24"/>
                <w:szCs w:val="24"/>
              </w:rPr>
              <w:t>dohledové konzoli s definicí odpovídajících akcí, např. zaslání korelované události na SIEM, generování mailu, lokální události, apod.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Podpora posílání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událostí formou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email, SNMP na externí platformy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Podpora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Streamer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eStreamer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pro sdílení informací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externími systémy. Minimálně </w:t>
            </w:r>
            <w:r>
              <w:rPr>
                <w:rFonts w:ascii="Times New Roman" w:hAnsi="Times New Roman"/>
                <w:sz w:val="24"/>
                <w:szCs w:val="24"/>
              </w:rPr>
              <w:t>pro tyto SIEM: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ArcSight</w:t>
            </w:r>
            <w:proofErr w:type="spellEnd"/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BMC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Remedy</w:t>
            </w:r>
            <w:proofErr w:type="spellEnd"/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Q1Labs-QRadar</w:t>
            </w:r>
          </w:p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Splunk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 zprávy odesílané emailem je podpora také autentizovaného SMTP pro 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munikaci s mail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Podpora API pro přístup z externích systémů k databázím centralizovaného managementu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Podpora řízeného přístupu podle rolí administrátorů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Definice dostupných funkcí v GUI centralizované dohledové konzole podle role </w:t>
            </w:r>
            <w:r>
              <w:rPr>
                <w:rFonts w:ascii="Times New Roman" w:hAnsi="Times New Roman"/>
                <w:sz w:val="24"/>
                <w:szCs w:val="24"/>
              </w:rPr>
              <w:t>administrátora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založit pro daný incident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ticket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přímo v prostředí GUI managementu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 předávání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ticketů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mezi administrátory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Konkrétní bezpečnostní incident až na úrovni paketu lze přiložit k danému „tiketu“ pro další analýzu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Možnost definice politik pro sledování odpovídajících parametrů „zdraví“ na senzorech a centralizované konzoli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zařížení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CPU, obsazení paměti, komunikace s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cloudovými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službami, apod.)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Zákaznicky definovatelné limity a akce spojené s jejich překročením při vyhodnocení sledovaných parametrů „zdraví“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Různé politiky pro sledování „zdraví“ lze aplikovat na různé senzory nebo centralizovanou konzoli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024E3F">
        <w:trPr>
          <w:cantSplit/>
        </w:trPr>
        <w:tc>
          <w:tcPr>
            <w:tcW w:w="4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Nativní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integrovatelnost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platformy centrální správy incidentů, korelaci a automatizaci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E3F" w:rsidRDefault="004511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Podporuje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3F" w:rsidRDefault="004511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fldChar w:fldCharType="begin">
                <w:ffData>
                  <w:name w:val="Text1 Copy 61 Copy 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     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fldChar w:fldCharType="end"/>
            </w:r>
          </w:p>
        </w:tc>
      </w:tr>
    </w:tbl>
    <w:p w:rsidR="00024E3F" w:rsidRDefault="00024E3F"/>
    <w:sectPr w:rsidR="00024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AA" w:rsidRDefault="004511AA">
      <w:pPr>
        <w:spacing w:after="0" w:line="240" w:lineRule="auto"/>
      </w:pPr>
      <w:r>
        <w:separator/>
      </w:r>
    </w:p>
  </w:endnote>
  <w:endnote w:type="continuationSeparator" w:id="0">
    <w:p w:rsidR="004511AA" w:rsidRDefault="0045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3F" w:rsidRDefault="00024E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3F" w:rsidRDefault="00024E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3F" w:rsidRDefault="00024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AA" w:rsidRDefault="004511AA">
      <w:pPr>
        <w:spacing w:after="0" w:line="240" w:lineRule="auto"/>
      </w:pPr>
      <w:r>
        <w:separator/>
      </w:r>
    </w:p>
  </w:footnote>
  <w:footnote w:type="continuationSeparator" w:id="0">
    <w:p w:rsidR="004511AA" w:rsidRDefault="0045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3F" w:rsidRDefault="00024E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3F" w:rsidRDefault="00024E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3F" w:rsidRDefault="00024E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024E3F"/>
    <w:rsid w:val="00024E3F"/>
    <w:rsid w:val="004511AA"/>
    <w:rsid w:val="007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5850"/>
  <w15:docId w15:val="{0B65080F-57B6-4EA8-BCC4-E1C98474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8A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816AA"/>
    <w:rPr>
      <w:rFonts w:ascii="Calibri" w:eastAsia="Calibri" w:hAnsi="Calibri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AA"/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AA"/>
    <w:rPr>
      <w:rFonts w:ascii="Calibri" w:eastAsia="Calibri" w:hAnsi="Calibri" w:cs="Times New Roman"/>
    </w:rPr>
  </w:style>
  <w:style w:type="character" w:customStyle="1" w:styleId="NzevChar">
    <w:name w:val="Název Char"/>
    <w:basedOn w:val="Standardnpsmoodstavce"/>
    <w:link w:val="Nzev"/>
    <w:uiPriority w:val="10"/>
    <w:qFormat/>
    <w:rsid w:val="00D816AA"/>
    <w:rPr>
      <w:rFonts w:ascii="Times New Roman" w:eastAsia="Times New Roman" w:hAnsi="Times New Roman" w:cs="Times New Roman"/>
      <w:b/>
      <w:bCs/>
      <w:smallCaps/>
      <w:sz w:val="28"/>
      <w:szCs w:val="28"/>
      <w:lang w:val="en-GB" w:eastAsia="cs-CZ"/>
    </w:rPr>
  </w:style>
  <w:style w:type="character" w:customStyle="1" w:styleId="PodnadpisChar">
    <w:name w:val="Podnadpis Char"/>
    <w:basedOn w:val="Standardnpsmoodstavce"/>
    <w:link w:val="Podnadpis"/>
    <w:qFormat/>
    <w:rsid w:val="00D816AA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816A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816AA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816AA"/>
    <w:rPr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next w:val="Normln"/>
    <w:uiPriority w:val="35"/>
    <w:unhideWhenUsed/>
    <w:qFormat/>
    <w:rsid w:val="005017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6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816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816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uiPriority w:val="10"/>
    <w:qFormat/>
    <w:rsid w:val="00D816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8"/>
      <w:lang w:val="en-GB" w:eastAsia="cs-CZ"/>
    </w:rPr>
  </w:style>
  <w:style w:type="paragraph" w:styleId="Podnadpis">
    <w:name w:val="Subtitle"/>
    <w:basedOn w:val="Normln"/>
    <w:link w:val="PodnadpisChar"/>
    <w:qFormat/>
    <w:rsid w:val="00D816A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816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816A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D81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816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b1body1">
    <w:name w:val="pb1_body1"/>
    <w:basedOn w:val="Normln"/>
    <w:qFormat/>
    <w:rsid w:val="00D816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Bezseznamu1">
    <w:name w:val="Bez seznamu1"/>
    <w:uiPriority w:val="99"/>
    <w:semiHidden/>
    <w:unhideWhenUsed/>
    <w:qFormat/>
    <w:rsid w:val="00D816AA"/>
  </w:style>
  <w:style w:type="table" w:styleId="Mkatabulky">
    <w:name w:val="Table Grid"/>
    <w:basedOn w:val="Normlntabulka"/>
    <w:uiPriority w:val="59"/>
    <w:rsid w:val="00D8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D8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43</Pages>
  <Words>10781</Words>
  <Characters>63611</Characters>
  <Application>Microsoft Office Word</Application>
  <DocSecurity>0</DocSecurity>
  <Lines>530</Lines>
  <Paragraphs>148</Paragraphs>
  <ScaleCrop>false</ScaleCrop>
  <Company/>
  <LinksUpToDate>false</LinksUpToDate>
  <CharactersWithSpaces>74244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Křelinová</cp:lastModifiedBy>
  <cp:revision>2</cp:revision>
  <dcterms:created xsi:type="dcterms:W3CDTF">2025-09-12T08:23:00Z</dcterms:created>
  <dcterms:modified xsi:type="dcterms:W3CDTF">2025-09-12T08:29:00Z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2020-01-07T18:35:00Z</dcterms:created>
  <dc:creator/>
  <dc:description/>
  <dc:language>cs-CZ</dc:language>
  <cp:lastModifiedBy/>
  <dcterms:modified xsi:type="dcterms:W3CDTF">2025-09-08T12:59:36Z</dcterms:modified>
  <cp:revision>13</cp:revision>
  <dc:subject/>
  <dc:title/>
</cp:coreProperties>
</file>